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right="0"/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BANDO WWF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5345755</wp:posOffset>
            </wp:positionH>
            <wp:positionV relativeFrom="paragraph">
              <wp:posOffset>219075</wp:posOffset>
            </wp:positionV>
            <wp:extent cx="586535" cy="870915"/>
            <wp:effectExtent b="0" l="0" r="0" t="0"/>
            <wp:wrapSquare wrapText="bothSides" distB="0" distT="0" distL="0" distR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535" cy="870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1943100" cy="1085850"/>
            <wp:effectExtent b="0" l="0" r="0" t="0"/>
            <wp:wrapSquare wrapText="bothSides" distB="0" distT="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DICHIARAZIONE</w:t>
      </w:r>
    </w:p>
    <w:p w:rsidR="00000000" w:rsidDel="00000000" w:rsidP="00000000" w:rsidRDefault="00000000" w:rsidRPr="00000000" w14:paraId="00000003">
      <w:pPr>
        <w:shd w:fill="ffffff" w:val="clear"/>
        <w:tabs>
          <w:tab w:val="left" w:pos="357"/>
          <w:tab w:val="left" w:pos="851"/>
        </w:tabs>
        <w:spacing w:after="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pos="357"/>
          <w:tab w:val="left" w:pos="851"/>
        </w:tabs>
        <w:spacing w:after="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Si prega di leggere attentamente e rispondere alle seguenti domande barrando SI o NO. La dichiarazione deve essere compilata in ogni sua parte.</w:t>
      </w:r>
    </w:p>
    <w:tbl>
      <w:tblPr>
        <w:tblStyle w:val="Table1"/>
        <w:tblW w:w="91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7260"/>
        <w:gridCol w:w="699"/>
        <w:gridCol w:w="685"/>
        <w:tblGridChange w:id="0">
          <w:tblGrid>
            <w:gridCol w:w="460"/>
            <w:gridCol w:w="7260"/>
            <w:gridCol w:w="699"/>
            <w:gridCol w:w="685"/>
          </w:tblGrid>
        </w:tblGridChange>
      </w:tblGrid>
      <w:tr>
        <w:trPr>
          <w:trHeight w:val="391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DOMANDE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shd w:fill="ffffff" w:val="clear"/>
              <w:spacing w:before="12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shd w:fill="ffffff" w:val="clear"/>
              <w:spacing w:before="12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NO</w:t>
            </w:r>
          </w:p>
        </w:tc>
      </w:tr>
      <w:tr>
        <w:trPr>
          <w:trHeight w:val="376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 una licenza di pesca valida?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1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È formalmente autorizzato ad esercitare l’attività di pesca nel suo Paese?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 qualità di pescatore, ha commesso un'infrazione grave ai sensi dell'articolo 42 del regolamento (CE) n. 1005/2008 del Consiglio o dell'articolo 90, paragrafo 1, del regolamento (CE) n. 1224/2009?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3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 qualità di pescatore, è mai stato coinvolto nell'esercizio, nella gestione o nella proprietà di pescherecci inclusi nell'elenco delle imbarcazioni IUU dell'Unione europea di cui all'articolo 40, paragrafo 3, del regolamento (CE) n. 1005/2008, o di imbarcazioni battenti bandiera di paesi identificati come paesi terzi non cooperanti di cui all'articolo 33 dello stesso regolamento?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 mai commesso, in qualità di pescatore, un'infrazione grave alle norme della Politica Comune della Pesca, identificata come tale in altre normative adottate dal Parlamento europeo e dal Consiglio?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1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 mai commesso in qualità di pescatore uno dei reati di cui agli articoli 3 e 4 della direttiva 2008/99/CE del Parlamento Europeo e del Consiglio, al momento della presentazione della domanda di sovvenzione al WWF, ai sensi del titolo V, capo II, del suddetto regolamento?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È consapevole che è necessario rispettare le condizioni di cui ai punti 3, 4, 5, e 6 per tutto il periodo di attuazione del progetto del FEAMP e per un periodo di cinque anni dopo il pagamento finale del FEAMP?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hd w:fill="ffffff" w:val="clear"/>
              <w:spacing w:before="12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 mai commesso una frode, come definita dall'articolo 1 della Convenzione sulla tutela degli interessi finanziari della Comunità Europea, nell'ambito del FEAMP?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hd w:fill="ffffff" w:val="clear"/>
              <w:tabs>
                <w:tab w:val="left" w:pos="426"/>
              </w:tabs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di voler conformare il proprio comportamento alle norme in materia di corruzione, frode o altre leggi anti-corruzione vigenti nel suo Paese?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hd w:fill="ffffff" w:val="clear"/>
              <w:tabs>
                <w:tab w:val="left" w:pos="426"/>
              </w:tabs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 impegna a utilizzare la sovvenzione, ove concessa, secondo correttezza, adoperandosi per prevenire i rischi di utilizzo improprio anche da parte di terzi, dipendenti, consulenti o subappaltatori?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shd w:fill="ffffff" w:val="clear"/>
              <w:tabs>
                <w:tab w:val="left" w:pos="426"/>
              </w:tabs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di rispettare le politiche relative al rispetto e alla salvaguardia dei dipendenti, ove applicabili, per prevenire e reprimere discriminazioni, molestie, abusi di potere e disuguaglianze di genere sul posto di lavoro?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hd w:fill="ffffff" w:val="clear"/>
              <w:tabs>
                <w:tab w:val="left" w:pos="426"/>
              </w:tabs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tabs>
                <w:tab w:val="left" w:pos="426"/>
              </w:tabs>
              <w:ind w:left="-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di rispettare tutte leggi relative ai diritti dei lavoratori in materia di salute, sicurezza, salari e benefici equi, orari di lavoro, libertà di associazione e contrattazione collettiva, nessuna discriminazione o trattamento duro, nessun lavoro forzato, e di rispettare le restrizioni lavorative relative all’infanzia in linea con le leggi locali applicabili e/o gli standard lavorativi dell'Organizzazione Internazionale del Lavoro, qualunque sia lo standard più alto?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hd w:fill="ffffff" w:val="clear"/>
              <w:tabs>
                <w:tab w:val="left" w:pos="426"/>
              </w:tabs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Accetta di rispettare gli standard e gli accordi sulla riservatezza, inclusa, tra le altre cose, la condivisione di informazioni sensibili e qualunque requisito relativo ai dati personali, incluso il rispetto della legislazione sulla protezione dei dati?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hd w:fill="ffffff" w:val="clear"/>
              <w:spacing w:before="12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 impegna a rispettare i criteri di eleggibilità stabiliti nel Regolamento relativo al bando del WWF per tutta la durata del progetto?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 impegna a partecipare alla realizzazione del progetto?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di avere fonti di finanziamento stabili e sufficienti per mantenere l'attività durante l'attuazione del progetto?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 assume la responsabilità anche per il fatto di terzi partecipanti  all'attuazione del progetto?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.208984375" w:hRule="atLeast"/>
        </w:trPr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before="120" w:lineRule="auto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before="120" w:lineRule="auto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4" w:val="single"/>
              <w:right w:color="efefe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before="120" w:lineRule="auto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di NON trovarsi in una situazione di bancarotta, di liquidazione, di amministrazione degli affari da parte dei tribunali, di concordato preventivo, di sospensione delle attività commerciali o di qualsiasi altro procedimento o procedura simile?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di NON  avere contenziosi pendenti rispetto agli obblighi di sicurezza sociale o fiscali?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di NON aver commesso gravi errori professionali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 di NON avere legami con un'organizzazione criminale, riciclaggio di denaro, crimini legati al terrorismo (incluso il finanziamento del terrorismo) o traffico di esseri umani?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Dichiara che l’ente che rappresenta non è stata costituito sotto una diversa giurisdizione con l'intento di eludere gli obblighi fiscali, sociali o altri obblighi legali nel paese d'origine (o ha creato un’altra entità con questo scopo)?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hd w:fill="ffffff" w:val="clear"/>
              <w:ind w:left="29" w:firstLine="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Conferma che lei/la sua organizzazione NON fa parte del WWF e che quindi non ha conflitti d'interesse in relazione a questa sovvenzione e che notificherà senza indugio qualsiasi situazione che potrebbe dar luogo a un conflitto d'interessi?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hd w:fill="ffffff" w:val="clear"/>
              <w:spacing w:before="12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E’ consapevole che le dichiarazioni false possono comportare il rifiuto della sovvenzione?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jc w:val="both"/>
              <w:rPr>
                <w:rFonts w:ascii="Century Gothic" w:cs="Century Gothic" w:eastAsia="Century Gothic" w:hAnsi="Century Gothic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26"/>
        </w:tabs>
        <w:spacing w:after="0" w:line="240" w:lineRule="auto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Il/La sottoscritto/a:</w:t>
      </w:r>
    </w:p>
    <w:p w:rsidR="00000000" w:rsidDel="00000000" w:rsidP="00000000" w:rsidRDefault="00000000" w:rsidRPr="00000000" w14:paraId="00000070">
      <w:pPr>
        <w:shd w:fill="ffffff" w:val="clear"/>
        <w:ind w:left="840" w:hanging="48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</w:rPr>
        <w:drawing>
          <wp:inline distB="0" distT="0" distL="0" distR="0">
            <wp:extent cx="266700" cy="219075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color w:val="231f20"/>
          <w:sz w:val="19"/>
          <w:szCs w:val="19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per le persone fisiche:  (nome e cognome) ……………………………………...</w:t>
      </w:r>
    </w:p>
    <w:p w:rsidR="00000000" w:rsidDel="00000000" w:rsidP="00000000" w:rsidRDefault="00000000" w:rsidRPr="00000000" w14:paraId="00000071">
      <w:pPr>
        <w:shd w:fill="ffffff" w:val="clear"/>
        <w:ind w:left="840" w:hanging="48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oppure</w:t>
      </w:r>
    </w:p>
    <w:p w:rsidR="00000000" w:rsidDel="00000000" w:rsidP="00000000" w:rsidRDefault="00000000" w:rsidRPr="00000000" w14:paraId="00000072">
      <w:pPr>
        <w:shd w:fill="ffffff" w:val="clear"/>
        <w:ind w:left="840" w:hanging="48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</w:rPr>
        <w:drawing>
          <wp:inline distB="0" distT="0" distL="0" distR="0">
            <wp:extent cx="266700" cy="21907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color w:val="231f20"/>
          <w:sz w:val="19"/>
          <w:szCs w:val="19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per le persone giuridiche</w:t>
      </w:r>
      <w:r w:rsidDel="00000000" w:rsidR="00000000" w:rsidRPr="00000000">
        <w:rPr>
          <w:rFonts w:ascii="Century Gothic" w:cs="Century Gothic" w:eastAsia="Century Gothic" w:hAnsi="Century Gothic"/>
          <w:vertAlign w:val="superscript"/>
        </w:rPr>
        <w:footnoteReference w:customMarkFollows="0" w:id="1"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(nome e cognome) …………………………… nella qualità di legale rappresentante di </w:t>
      </w:r>
    </w:p>
    <w:p w:rsidR="00000000" w:rsidDel="00000000" w:rsidP="00000000" w:rsidRDefault="00000000" w:rsidRPr="00000000" w14:paraId="00000073">
      <w:pPr>
        <w:shd w:fill="ffffff" w:val="clear"/>
        <w:spacing w:after="40" w:before="40" w:lineRule="auto"/>
        <w:ind w:left="371" w:firstLine="72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[[inserire nome ufficiale completo]</w:t>
      </w:r>
    </w:p>
    <w:p w:rsidR="00000000" w:rsidDel="00000000" w:rsidP="00000000" w:rsidRDefault="00000000" w:rsidRPr="00000000" w14:paraId="00000074">
      <w:pPr>
        <w:shd w:fill="ffffff" w:val="clear"/>
        <w:spacing w:after="40" w:before="40" w:lineRule="auto"/>
        <w:ind w:left="371" w:firstLine="72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[inserire indirizzo ufficiale completo]</w:t>
      </w:r>
    </w:p>
    <w:p w:rsidR="00000000" w:rsidDel="00000000" w:rsidP="00000000" w:rsidRDefault="00000000" w:rsidRPr="00000000" w14:paraId="00000075">
      <w:pPr>
        <w:shd w:fill="ffffff" w:val="clear"/>
        <w:spacing w:after="40" w:before="40" w:lineRule="auto"/>
        <w:ind w:left="371" w:firstLine="72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[inserire il numero di partita IVA]</w:t>
      </w:r>
    </w:p>
    <w:p w:rsidR="00000000" w:rsidDel="00000000" w:rsidP="00000000" w:rsidRDefault="00000000" w:rsidRPr="00000000" w14:paraId="00000076">
      <w:pPr>
        <w:shd w:fill="ffffff" w:val="clear"/>
        <w:spacing w:after="40" w:before="40" w:lineRule="auto"/>
        <w:ind w:left="371" w:firstLine="72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40" w:before="40" w:lineRule="auto"/>
        <w:ind w:left="371" w:firstLine="72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78">
      <w:pPr>
        <w:shd w:fill="ffffff" w:val="clear"/>
        <w:spacing w:after="40" w:before="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veridicità delle suddette informazioni. </w:t>
      </w:r>
    </w:p>
    <w:p w:rsidR="00000000" w:rsidDel="00000000" w:rsidP="00000000" w:rsidRDefault="00000000" w:rsidRPr="00000000" w14:paraId="00000079">
      <w:pPr>
        <w:shd w:fill="ffffff" w:val="clea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26"/>
        </w:tabs>
        <w:spacing w:after="0" w:line="240" w:lineRule="auto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Data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26"/>
        </w:tabs>
        <w:spacing w:after="0" w:line="240" w:lineRule="auto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26"/>
        </w:tabs>
        <w:spacing w:after="0" w:line="240" w:lineRule="auto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Nome e Cognome del Richiedente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____________________________</w:t>
      </w:r>
    </w:p>
    <w:p w:rsidR="00000000" w:rsidDel="00000000" w:rsidP="00000000" w:rsidRDefault="00000000" w:rsidRPr="00000000" w14:paraId="0000007D">
      <w:pPr>
        <w:shd w:fill="ffffff" w:val="clear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after="0" w:line="240" w:lineRule="auto"/>
        <w:jc w:val="both"/>
        <w:rPr>
          <w:rFonts w:ascii="Century Gothic" w:cs="Century Gothic" w:eastAsia="Century Gothic" w:hAnsi="Century Gothic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6"/>
          <w:szCs w:val="16"/>
          <w:rtl w:val="0"/>
        </w:rPr>
        <w:t xml:space="preserve"> </w:t>
        <w:tab/>
        <w:t xml:space="preserve">Sono comprese le "entità prive di personalità giuridica" ai sensi dell'articolo 197, paragrafo 2, del regolamento (UE, Euratom) 2018/1046 del Parlamento europeo e del Consiglio, del 18 luglio 2018, che stabilisce le regole finanziarie applicabili al bilancio generale dell'Unione e che modifica i regolamenti (UE) n. 1296/2013 (UE) n. 1301/2013, (UE) n. 1303/2013, (UE) n. 1304/2013, (UE) n. 1309/2013, (UE) n. 1316/2013, (UE) n. 223/2014, (UE) n. 283/2014 e la decisione n. 541/2014/UE e che abroga il regolamento (UE, Euratom) n. 966/2012 ("regolamento finanziario dell'UE") (GU L 193 del 30. 7.2018, p. 1).</w:t>
      </w:r>
    </w:p>
  </w:footnote>
  <w:footnote w:id="0"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I gravi errori professionali includono: la violazione degli standard etici della professione, la condotta illecita con impatto sulla credibilità professionale, false dichiarazioni/misura delle informazioni, la partecipazione a un cartello o altro accordo che distorce la concorrenza, la violazione dei DPI, il tentativo di influenzare i processi decisionali o ottenere informazioni riservate dalle autorità pubbliche per ottenere un vantaggio.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5941D9"/>
    <w:pPr>
      <w:snapToGrid w:val="0"/>
      <w:spacing w:after="200" w:line="240" w:lineRule="auto"/>
      <w:jc w:val="center"/>
      <w:outlineLvl w:val="0"/>
    </w:pPr>
    <w:rPr>
      <w:rFonts w:ascii="Times New Roman" w:cs="Times New Roman" w:eastAsia="SimSun" w:hAnsi="Times New Roman"/>
      <w:b w:val="1"/>
      <w:sz w:val="24"/>
      <w:szCs w:val="24"/>
      <w:lang w:eastAsia="zh-CN" w:val="en-GB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phedeliste">
    <w:name w:val="List Paragraph"/>
    <w:basedOn w:val="Normal"/>
    <w:link w:val="ParagraphedelisteCar"/>
    <w:uiPriority w:val="34"/>
    <w:qFormat w:val="1"/>
    <w:rsid w:val="00FC3F38"/>
    <w:pPr>
      <w:spacing w:after="0" w:line="240" w:lineRule="auto"/>
      <w:ind w:left="720"/>
      <w:contextualSpacing w:val="1"/>
      <w:jc w:val="both"/>
    </w:pPr>
    <w:rPr>
      <w:rFonts w:ascii="Tahoma" w:cs="Tahoma" w:hAnsi="Tahoma"/>
      <w:lang w:val="en-GB"/>
    </w:rPr>
  </w:style>
  <w:style w:type="table" w:styleId="Grilledutableau">
    <w:name w:val="Table Grid"/>
    <w:basedOn w:val="TableauNormal"/>
    <w:rsid w:val="00E670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454A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454AFE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454AFE"/>
    <w:rPr>
      <w:color w:val="954f72" w:themeColor="followedHyperlink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5941D9"/>
    <w:rPr>
      <w:rFonts w:ascii="Times New Roman" w:cs="Times New Roman" w:eastAsia="SimSun" w:hAnsi="Times New Roman"/>
      <w:b w:val="1"/>
      <w:sz w:val="24"/>
      <w:szCs w:val="24"/>
      <w:lang w:eastAsia="zh-CN" w:val="en-GB"/>
    </w:rPr>
  </w:style>
  <w:style w:type="paragraph" w:styleId="Notedebasdepage">
    <w:name w:val="footnote text"/>
    <w:basedOn w:val="Normal"/>
    <w:link w:val="NotedebasdepageCar"/>
    <w:rsid w:val="005941D9"/>
    <w:pPr>
      <w:snapToGri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 w:val="en-GB"/>
    </w:rPr>
  </w:style>
  <w:style w:type="character" w:styleId="NotedebasdepageCar" w:customStyle="1">
    <w:name w:val="Note de bas de page Car"/>
    <w:basedOn w:val="Policepardfaut"/>
    <w:link w:val="Notedebasdepage"/>
    <w:rsid w:val="005941D9"/>
    <w:rPr>
      <w:rFonts w:ascii="Times New Roman" w:cs="Times New Roman" w:eastAsia="Times New Roman" w:hAnsi="Times New Roman"/>
      <w:sz w:val="20"/>
      <w:szCs w:val="20"/>
      <w:lang w:eastAsia="en-GB" w:val="en-GB"/>
    </w:rPr>
  </w:style>
  <w:style w:type="paragraph" w:styleId="H1" w:customStyle="1">
    <w:name w:val="H1"/>
    <w:basedOn w:val="Normal"/>
    <w:rsid w:val="005941D9"/>
    <w:pPr>
      <w:numPr>
        <w:numId w:val="1"/>
      </w:numPr>
      <w:snapToGrid w:val="0"/>
      <w:spacing w:after="200" w:before="360" w:line="240" w:lineRule="auto"/>
      <w:jc w:val="both"/>
    </w:pPr>
    <w:rPr>
      <w:rFonts w:ascii="Times New Roman" w:cs="Times New Roman" w:eastAsia="Times New Roman" w:hAnsi="Times New Roman"/>
      <w:b w:val="1"/>
      <w:caps w:val="1"/>
      <w:sz w:val="24"/>
      <w:szCs w:val="24"/>
      <w:lang w:eastAsia="en-GB" w:val="en-GB"/>
    </w:rPr>
  </w:style>
  <w:style w:type="paragraph" w:styleId="H2" w:customStyle="1">
    <w:name w:val="H2"/>
    <w:basedOn w:val="Normal"/>
    <w:rsid w:val="005941D9"/>
    <w:pPr>
      <w:numPr>
        <w:ilvl w:val="1"/>
        <w:numId w:val="1"/>
      </w:numPr>
      <w:snapToGrid w:val="0"/>
      <w:spacing w:after="200" w:line="240" w:lineRule="auto"/>
      <w:ind w:left="1280" w:hanging="500"/>
      <w:jc w:val="both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H3" w:customStyle="1">
    <w:name w:val="H3"/>
    <w:basedOn w:val="Normal"/>
    <w:rsid w:val="005941D9"/>
    <w:pPr>
      <w:numPr>
        <w:ilvl w:val="2"/>
        <w:numId w:val="1"/>
      </w:numPr>
      <w:snapToGrid w:val="0"/>
      <w:spacing w:after="200" w:line="240" w:lineRule="auto"/>
      <w:ind w:left="1960" w:hanging="880"/>
      <w:jc w:val="both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H4" w:customStyle="1">
    <w:name w:val="H4"/>
    <w:basedOn w:val="Normal"/>
    <w:rsid w:val="005941D9"/>
    <w:pPr>
      <w:numPr>
        <w:ilvl w:val="3"/>
        <w:numId w:val="1"/>
      </w:numPr>
      <w:snapToGrid w:val="0"/>
      <w:spacing w:after="20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H5" w:customStyle="1">
    <w:name w:val="H5"/>
    <w:basedOn w:val="Normal"/>
    <w:rsid w:val="005941D9"/>
    <w:pPr>
      <w:numPr>
        <w:ilvl w:val="4"/>
        <w:numId w:val="1"/>
      </w:numPr>
      <w:snapToGrid w:val="0"/>
      <w:spacing w:after="20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H6" w:customStyle="1">
    <w:name w:val="H6"/>
    <w:basedOn w:val="Normal"/>
    <w:rsid w:val="005941D9"/>
    <w:pPr>
      <w:numPr>
        <w:ilvl w:val="5"/>
        <w:numId w:val="1"/>
      </w:numPr>
      <w:snapToGrid w:val="0"/>
      <w:spacing w:after="20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Appelnotedebasdep">
    <w:name w:val="footnote reference"/>
    <w:uiPriority w:val="99"/>
    <w:semiHidden w:val="1"/>
    <w:unhideWhenUsed w:val="1"/>
    <w:rsid w:val="005941D9"/>
    <w:rPr>
      <w:vertAlign w:val="superscript"/>
    </w:rPr>
  </w:style>
  <w:style w:type="character" w:styleId="ParagraphedelisteCar" w:customStyle="1">
    <w:name w:val="Paragraphe de liste Car"/>
    <w:link w:val="Paragraphedeliste"/>
    <w:uiPriority w:val="34"/>
    <w:rsid w:val="005941D9"/>
    <w:rPr>
      <w:rFonts w:ascii="Tahoma" w:cs="Tahoma" w:hAnsi="Tahoma"/>
      <w:lang w:val="en-GB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5F0B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5F0BC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5F0B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5F0BC4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5F0BC4"/>
    <w:rPr>
      <w:b w:val="1"/>
      <w:bCs w:val="1"/>
      <w:sz w:val="20"/>
      <w:szCs w:val="20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s+QRkMeLpjau0Sut7XA0IdDDA==">AMUW2mURuOxxqRMkafaOXHJU1BAyLONe8cB3IDeHxfczrGwmTfG0KgWNrWmyAzGUfH9lTWSuz64jXeHSJTnP9C6x9s8N7w+8xULPszhxfE2sc3FZEiObS/I0nGQv70MxTErPncpBbFzv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2021-03-26T08:03:00Z</dcterms:created>
  <dc:creator>Silvia Ritossa</dc:creator>
</cp:coreProperties>
</file>